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62" w:rsidRDefault="00682F6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82F62" w:rsidRDefault="00682F62">
      <w:pPr>
        <w:pStyle w:val="ConsPlusNormal"/>
        <w:jc w:val="both"/>
        <w:outlineLvl w:val="0"/>
      </w:pPr>
    </w:p>
    <w:p w:rsidR="00682F62" w:rsidRDefault="00682F62">
      <w:pPr>
        <w:pStyle w:val="ConsPlusNormal"/>
      </w:pPr>
      <w:r>
        <w:t>Зарегистрировано в Управлении Минюста России по Челябинской области 1 октября 2021 г. N RU743140002021002</w:t>
      </w:r>
    </w:p>
    <w:p w:rsidR="00682F62" w:rsidRDefault="00682F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F62" w:rsidRDefault="00682F62">
      <w:pPr>
        <w:pStyle w:val="ConsPlusNormal"/>
        <w:jc w:val="both"/>
      </w:pPr>
    </w:p>
    <w:p w:rsidR="00682F62" w:rsidRDefault="00682F62">
      <w:pPr>
        <w:pStyle w:val="ConsPlusTitle"/>
        <w:jc w:val="center"/>
      </w:pPr>
      <w:r>
        <w:t>СОБРАНИЕ ДЕПУТАТОВ ЧЕБАРКУЛЬСКОГО ГОРОДСКОГО ОКРУГА</w:t>
      </w:r>
    </w:p>
    <w:p w:rsidR="00682F62" w:rsidRDefault="00682F62">
      <w:pPr>
        <w:pStyle w:val="ConsPlusTitle"/>
        <w:jc w:val="center"/>
      </w:pPr>
      <w:r>
        <w:t>ЧЕЛЯБИНСКОЙ ОБЛАСТИ</w:t>
      </w:r>
    </w:p>
    <w:p w:rsidR="00682F62" w:rsidRDefault="00682F62">
      <w:pPr>
        <w:pStyle w:val="ConsPlusTitle"/>
        <w:jc w:val="both"/>
      </w:pPr>
    </w:p>
    <w:p w:rsidR="00682F62" w:rsidRDefault="00682F62">
      <w:pPr>
        <w:pStyle w:val="ConsPlusTitle"/>
        <w:jc w:val="center"/>
      </w:pPr>
      <w:r>
        <w:t>РЕШЕНИЕ</w:t>
      </w:r>
    </w:p>
    <w:p w:rsidR="00682F62" w:rsidRDefault="00682F62">
      <w:pPr>
        <w:pStyle w:val="ConsPlusTitle"/>
        <w:jc w:val="center"/>
      </w:pPr>
      <w:r>
        <w:t>от 12 августа 2021 г. N 178</w:t>
      </w:r>
    </w:p>
    <w:p w:rsidR="00682F62" w:rsidRDefault="00682F62">
      <w:pPr>
        <w:pStyle w:val="ConsPlusTitle"/>
        <w:jc w:val="both"/>
      </w:pPr>
    </w:p>
    <w:p w:rsidR="00682F62" w:rsidRDefault="00682F62">
      <w:pPr>
        <w:pStyle w:val="ConsPlusTitle"/>
        <w:jc w:val="center"/>
      </w:pPr>
      <w:r>
        <w:t>О внесении изменений и дополнений в Устав</w:t>
      </w:r>
    </w:p>
    <w:p w:rsidR="00682F62" w:rsidRDefault="00682F62">
      <w:pPr>
        <w:pStyle w:val="ConsPlusTitle"/>
        <w:jc w:val="center"/>
      </w:pPr>
      <w:r>
        <w:t>муниципального образования "Чебаркульский городской округ"</w:t>
      </w:r>
    </w:p>
    <w:p w:rsidR="00682F62" w:rsidRDefault="00682F62">
      <w:pPr>
        <w:pStyle w:val="ConsPlusNormal"/>
        <w:jc w:val="both"/>
      </w:pPr>
    </w:p>
    <w:p w:rsidR="00682F62" w:rsidRDefault="00682F6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от 06.10.2003 N 131-ФЗ, </w:t>
      </w:r>
      <w:hyperlink r:id="rId6">
        <w:r>
          <w:rPr>
            <w:color w:val="0000FF"/>
          </w:rPr>
          <w:t>Законом</w:t>
        </w:r>
      </w:hyperlink>
      <w:r>
        <w:t xml:space="preserve"> Челябинской области от 22.12.2020 N 288-ЗО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бюджета", руководствуясь </w:t>
      </w:r>
      <w:hyperlink r:id="rId7">
        <w:r>
          <w:rPr>
            <w:color w:val="0000FF"/>
          </w:rPr>
          <w:t>статьями 29</w:t>
        </w:r>
      </w:hyperlink>
      <w:r>
        <w:t xml:space="preserve">, </w:t>
      </w:r>
      <w:hyperlink r:id="rId8">
        <w:r>
          <w:rPr>
            <w:color w:val="0000FF"/>
          </w:rPr>
          <w:t>62</w:t>
        </w:r>
      </w:hyperlink>
      <w:r>
        <w:t xml:space="preserve"> Устава муниципального образования "Чебаркульский городской округ", Собрание депутатов Чебаркульского городского округа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РЕШАЕТ:</w:t>
      </w:r>
    </w:p>
    <w:p w:rsidR="00682F62" w:rsidRDefault="00682F62">
      <w:pPr>
        <w:pStyle w:val="ConsPlusNormal"/>
        <w:jc w:val="both"/>
      </w:pPr>
    </w:p>
    <w:p w:rsidR="00682F62" w:rsidRDefault="00682F62">
      <w:pPr>
        <w:pStyle w:val="ConsPlusNormal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Устав</w:t>
        </w:r>
      </w:hyperlink>
      <w:r>
        <w:t xml:space="preserve"> муниципального образования "Чебаркульский городской округ" следующие изменения и дополнения: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 xml:space="preserve">1) В </w:t>
      </w:r>
      <w:hyperlink r:id="rId10">
        <w:r>
          <w:rPr>
            <w:color w:val="0000FF"/>
          </w:rPr>
          <w:t>статье 8</w:t>
        </w:r>
      </w:hyperlink>
      <w:r>
        <w:t xml:space="preserve"> "Вопросы местного значения городского округа":</w:t>
      </w:r>
    </w:p>
    <w:p w:rsidR="00682F62" w:rsidRDefault="00682F62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пункт 46</w:t>
        </w:r>
      </w:hyperlink>
      <w:r>
        <w:t xml:space="preserve"> изложить в новой редакции: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"46) организация в соответствии с Федеральным законом выполнения комплексных кадастровых работ и утверждение карты-плана территории.";</w:t>
      </w:r>
    </w:p>
    <w:p w:rsidR="00682F62" w:rsidRDefault="00682F62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дополнить</w:t>
        </w:r>
      </w:hyperlink>
      <w:r>
        <w:t xml:space="preserve"> пунктом 48 следующего содержания: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"48)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недвижимости.".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 xml:space="preserve">2) В </w:t>
      </w:r>
      <w:hyperlink r:id="rId13">
        <w:r>
          <w:rPr>
            <w:color w:val="0000FF"/>
          </w:rPr>
          <w:t>статье 17</w:t>
        </w:r>
      </w:hyperlink>
      <w:r>
        <w:t xml:space="preserve"> "Собрание граждан"</w:t>
      </w:r>
    </w:p>
    <w:p w:rsidR="00682F62" w:rsidRDefault="00682F62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1</w:t>
        </w:r>
      </w:hyperlink>
      <w:r>
        <w:t xml:space="preserve"> изложить в новой редакции: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"1.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округа могут проводиться собрания граждан.";</w:t>
      </w:r>
    </w:p>
    <w:p w:rsidR="00682F62" w:rsidRDefault="00682F62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2</w:t>
        </w:r>
      </w:hyperlink>
      <w:r>
        <w:t xml:space="preserve"> дополнить абзацем следующего содержания: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 xml:space="preserve">"В собрании граждан по вопросам внесения инициативных проектов и их рассмотрения </w:t>
      </w:r>
      <w:r>
        <w:lastRenderedPageBreak/>
        <w:t>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городского округа.";</w:t>
      </w:r>
    </w:p>
    <w:p w:rsidR="00682F62" w:rsidRDefault="00682F62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 xml:space="preserve">"3. Порядок назначения и проведения собрания граждан, а также полномочия собрания граждан определяются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нормативными правовыми актами Собрания депутатов городского округа. Собрание граждан, проводимое по инициативе населения, назначается Собранием депутатов городского округа в течение 30 дней со дня поступления обращения о проведении собрания граждан.";</w:t>
      </w:r>
    </w:p>
    <w:p w:rsidR="00682F62" w:rsidRDefault="00682F62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"5. Инициатива населения о проведении собрания граждан оформляется в виде обращения в Собрание депутатов городского округа, в котором указываются: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1) вопрос (вопросы), предлагаемый (предлагаемые) к рассмотрению на собрании граждан;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2) обоснование необходимости его (их) рассмотрения на собрании граждан;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3) предложения по дате, времени и месту проведения собрания граждан;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4) территория городского округа, в пределах которой предполагается провести собрание граждан;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5) контактная информация о лицах, ответственных за проведение собрания граждан;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6) иные сведения, предусмотренные нормативным правовым актом представительного Собрания депутатов.".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 xml:space="preserve">3) </w:t>
      </w:r>
      <w:hyperlink r:id="rId19">
        <w:r>
          <w:rPr>
            <w:color w:val="0000FF"/>
          </w:rPr>
          <w:t>Статью 19</w:t>
        </w:r>
      </w:hyperlink>
      <w:r>
        <w:t xml:space="preserve"> "Опрос граждан" изложить в следующей редакции: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"Статья 19. Опрос граждан</w:t>
      </w:r>
    </w:p>
    <w:p w:rsidR="00682F62" w:rsidRDefault="00682F62">
      <w:pPr>
        <w:pStyle w:val="ConsPlusNormal"/>
        <w:jc w:val="both"/>
      </w:pPr>
    </w:p>
    <w:p w:rsidR="00682F62" w:rsidRDefault="00682F62">
      <w:pPr>
        <w:pStyle w:val="ConsPlusNormal"/>
        <w:ind w:firstLine="540"/>
        <w:jc w:val="both"/>
      </w:pPr>
      <w:r>
        <w:t>1.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городского округа и должностными лицами местного самоуправления городского округа, а также органами государственной власти.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2. Результаты опроса граждан носят рекомендательный характер.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3. В опросе граждан имеют право участвовать жители городского округа, обладающие избирательным правом.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В опросе граждан по вопросу выявления мнения граждан о поддержке инициативного проекта вправе участвовать жители городского округа или его части, в которых предлагается реализовать инициативный проект, достигшие шестнадцатилетнего возраста.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4. Опрос граждан проводится по инициативе: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1) Собрания депутатов Чебаркульского городского округа или главы городского округа - по вопросам местного значения;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 xml:space="preserve">2) органов государственной власти Челябинской области - для учета мнения граждан при </w:t>
      </w:r>
      <w:r>
        <w:lastRenderedPageBreak/>
        <w:t>принятии решений об изменении целевого назначения земель городского округа для объектов регионального и межрегионального значения;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5. Порядок назначения и проведения опроса граждан определяется нормативным правовым актом Собрания депутатов городского округа в соответствии с законом Челябинской области.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6. Решение о назначении опроса граждан принимается Собранием депутатов городского округа. Для проведения опроса граждан может использоваться официальный сайт Собрания депутатов городского округа в информационно-телекоммуникационной сети "Интернет".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В нормативном правовом акте Собрания депутатов городского округа о назначении опроса граждан устанавливаются: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1) дата и сроки проведения опроса граждан;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2) формулировка вопроса (вопросов), предлагаемого (предлагаемых) при проведении опроса;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3) методика проведения опроса граждан;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4) форма опросного листа;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5) минимальная численность жителей городского округа, участвующих в опросе;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6) порядок идентификации участников опроса в случае проведения опроса граждан с использованием официального сайта органов местного самоуправления городского округа в информационно-телекоммуникационной сети "Интернет".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7. Жители городского округа должны быть проинформированы о проведении опроса граждан не менее чем за 10 дней до его проведения.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8. Финансирование мероприятий, связанных с подготовкой и проведением опроса граждан, осуществляется: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1) за счет средств бюджета городского округа - при проведении опроса граждан по инициативе органов местного самоуправления городского округа или жителей городского округа;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области.".</w:t>
      </w:r>
    </w:p>
    <w:p w:rsidR="00682F62" w:rsidRDefault="00682F62">
      <w:pPr>
        <w:pStyle w:val="ConsPlusNormal"/>
        <w:jc w:val="both"/>
      </w:pPr>
    </w:p>
    <w:p w:rsidR="00682F62" w:rsidRDefault="00682F62">
      <w:pPr>
        <w:pStyle w:val="ConsPlusNormal"/>
        <w:ind w:firstLine="540"/>
        <w:jc w:val="both"/>
      </w:pPr>
      <w:r>
        <w:t xml:space="preserve">4) Дополнить </w:t>
      </w:r>
      <w:hyperlink r:id="rId20">
        <w:r>
          <w:rPr>
            <w:color w:val="0000FF"/>
          </w:rPr>
          <w:t>главу III</w:t>
        </w:r>
      </w:hyperlink>
      <w:r>
        <w:t xml:space="preserve"> новой статьей 19.2 следующего содержания: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"Статья 19.2 Инициативные проекты</w:t>
      </w:r>
    </w:p>
    <w:p w:rsidR="00682F62" w:rsidRDefault="00682F62">
      <w:pPr>
        <w:pStyle w:val="ConsPlusNormal"/>
        <w:jc w:val="both"/>
      </w:pPr>
    </w:p>
    <w:p w:rsidR="00682F62" w:rsidRDefault="00682F62">
      <w:pPr>
        <w:pStyle w:val="ConsPlusNormal"/>
        <w:ind w:firstLine="540"/>
        <w:jc w:val="both"/>
      </w:pPr>
      <w:r>
        <w:t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 городского округа, в администрацию городского округа может быть внесен инициативный проект. Порядок определения части территории городского округа, на которой могут реализовываться инициативные проекты, устанавливается нормативным правовым актом Собрания депутатов городского округа.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 xml:space="preserve">2. С инициативой о внесении инициативного проекта вправе выступить инициативная группа </w:t>
      </w:r>
      <w:r>
        <w:lastRenderedPageBreak/>
        <w:t>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Минимальная численность инициативной группы может быть уменьшена нормативным правовым актом Собрания депутатов городского округа. Право выступить инициатором проекта в соответствии с нормативным правовым актом Собрания депутатов городского округа может быть предоставлено также иным лицам, осуществляющим деятельность на территории городского округа.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3. Инициативный проект должен содержать следующие сведения: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1) описание проблемы, решение которой имеет приоритетное значение для жителей городского округа или его части;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2) обоснование предложений по решению указанной проблемы;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3) описание ожидаемого результата (ожидаемых результатов) реализации инициативного проекта;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4) предварительный расчет необходимых расходов на реализацию инициативного проекта;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5) планируемые сроки реализации инициативного проекта;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7) указание на объем средств бюджета городского округа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8) указание на территорию городского округа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городского округа;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9) иные сведения, предусмотренные нормативным правовым актом Собрания депутатов городского округа.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4.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Собрания депутатов городского округа.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таких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6. В случае, если в администрацию городского округа внесено несколько инициативных проектов, в том числе с описанием аналогичных по содержанию приоритетных проблем, администрация городского округа организует проведение конкурсного отбора и информирует об этом инициаторов проекта.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Собрания депутатов городского округа нормативного характера. Состав коллегиального органа </w:t>
      </w:r>
      <w:r>
        <w:lastRenderedPageBreak/>
        <w:t>(комиссии) формируется администрацией городского округа. При этом половина от общего числа членов коллегиального органа (комиссии) должна быть назначена на основе предложений Собрания депутатов городского округа.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ним.".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 xml:space="preserve">5) В </w:t>
      </w:r>
      <w:hyperlink r:id="rId21">
        <w:r>
          <w:rPr>
            <w:color w:val="0000FF"/>
          </w:rPr>
          <w:t>пункте 2 статьи 26</w:t>
        </w:r>
      </w:hyperlink>
      <w:r>
        <w:t xml:space="preserve"> Устава "Полномочия Собрания депутатов":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 xml:space="preserve">а) </w:t>
      </w:r>
      <w:hyperlink r:id="rId22">
        <w:r>
          <w:rPr>
            <w:color w:val="0000FF"/>
          </w:rPr>
          <w:t>подпункт 40</w:t>
        </w:r>
      </w:hyperlink>
      <w:r>
        <w:t xml:space="preserve"> считать подпунктом 45;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 xml:space="preserve">б) </w:t>
      </w:r>
      <w:hyperlink r:id="rId23">
        <w:r>
          <w:rPr>
            <w:color w:val="0000FF"/>
          </w:rPr>
          <w:t>дополнить</w:t>
        </w:r>
      </w:hyperlink>
      <w:r>
        <w:t xml:space="preserve"> подпунктами 40 - 44 следующего содержания: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"40) установление порядка определения части территории городского округа, на которой могут реализовываться инициативные проекты;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41)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42)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43)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44) определение порядка расчета и возврата сумм инициативных платежей, подлежащих возврату лицам (в том числе организациям), осуществившим их перечисление в бюджет Чебаркульского городского округа.".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 xml:space="preserve">6) </w:t>
      </w:r>
      <w:hyperlink r:id="rId24">
        <w:r>
          <w:rPr>
            <w:color w:val="0000FF"/>
          </w:rPr>
          <w:t>Пункт 1 статьи 43</w:t>
        </w:r>
      </w:hyperlink>
      <w:r>
        <w:t xml:space="preserve"> "Компетенция администрации городского округа" дополнить подпунктом 52 следующего содержания: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"52) принимает решение и проводит на территории городского округа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недвижимости;";</w:t>
      </w:r>
    </w:p>
    <w:p w:rsidR="00682F62" w:rsidRDefault="00682F62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подпункт 45</w:t>
        </w:r>
      </w:hyperlink>
      <w:r>
        <w:t xml:space="preserve"> изложить в новой редакции: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>"45) организует в соответствии с Федеральным законом выполнение комплексных кадастровых работ и утверждает карту-план территории;".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 xml:space="preserve">7) </w:t>
      </w:r>
      <w:hyperlink r:id="rId26">
        <w:r>
          <w:rPr>
            <w:color w:val="0000FF"/>
          </w:rPr>
          <w:t>Пункт 6 статьи 62</w:t>
        </w:r>
      </w:hyperlink>
      <w:r>
        <w:t xml:space="preserve"> "Порядок внесения изменений и дополнений в Устав городского округа. Вступление в силу Устава городского округа, решения о внесении изменений в Устав городского округа" изложить в следующей редакции:</w:t>
      </w:r>
    </w:p>
    <w:p w:rsidR="00682F62" w:rsidRDefault="00682F62">
      <w:pPr>
        <w:pStyle w:val="ConsPlusNormal"/>
        <w:spacing w:before="220"/>
        <w:ind w:firstLine="540"/>
        <w:jc w:val="both"/>
      </w:pPr>
      <w:r>
        <w:t xml:space="preserve">"6. Устав городского округа, решения о внесении изменений и дополнений в Устав городского округа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городского округа обязан опубликовать (обнародовать) зарегистрированные Устав городского округа, решение о внесении изменений и дополнений в Устав городского округа в течение семи дней со дня поступления уведомления о включении сведений об уставе городского округа, решении о внесении изменений и дополнений в Устав городского округа в государственный реестр уставов муниципальных образований субъекта Российской Федерации, предусмотренного </w:t>
      </w:r>
      <w:hyperlink r:id="rId27">
        <w:r>
          <w:rPr>
            <w:color w:val="0000FF"/>
          </w:rPr>
          <w:t>частью 6 статьи 4</w:t>
        </w:r>
      </w:hyperlink>
      <w:r>
        <w:t xml:space="preserve"> Федерального закона от 21 июля </w:t>
      </w:r>
      <w:r>
        <w:lastRenderedPageBreak/>
        <w:t>2005 года N 97-ФЗ "О государственной регистрации уставов муниципальных образований".".</w:t>
      </w:r>
    </w:p>
    <w:p w:rsidR="00682F62" w:rsidRDefault="00682F62">
      <w:pPr>
        <w:pStyle w:val="ConsPlusNormal"/>
        <w:jc w:val="both"/>
      </w:pPr>
    </w:p>
    <w:p w:rsidR="00682F62" w:rsidRDefault="00682F62">
      <w:pPr>
        <w:pStyle w:val="ConsPlusNormal"/>
        <w:ind w:firstLine="540"/>
        <w:jc w:val="both"/>
      </w:pPr>
      <w:r>
        <w:t>2. Настоящее решение подлежит официальному опубликованию в газете "Южноуралец" и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82F62" w:rsidRDefault="00682F62">
      <w:pPr>
        <w:pStyle w:val="ConsPlusNormal"/>
        <w:jc w:val="both"/>
      </w:pPr>
    </w:p>
    <w:p w:rsidR="00682F62" w:rsidRDefault="00682F62">
      <w:pPr>
        <w:pStyle w:val="ConsPlusNormal"/>
        <w:ind w:firstLine="540"/>
        <w:jc w:val="both"/>
      </w:pPr>
      <w:r>
        <w:t>3. Настоящее решение вступает в силу в соответствии с действующим законодательством.</w:t>
      </w:r>
    </w:p>
    <w:p w:rsidR="00682F62" w:rsidRDefault="00682F62">
      <w:pPr>
        <w:pStyle w:val="ConsPlusNormal"/>
        <w:jc w:val="both"/>
      </w:pPr>
    </w:p>
    <w:p w:rsidR="00682F62" w:rsidRDefault="00682F62">
      <w:pPr>
        <w:pStyle w:val="ConsPlusNormal"/>
        <w:jc w:val="right"/>
      </w:pPr>
      <w:r>
        <w:t>Председатель</w:t>
      </w:r>
    </w:p>
    <w:p w:rsidR="00682F62" w:rsidRDefault="00682F62">
      <w:pPr>
        <w:pStyle w:val="ConsPlusNormal"/>
        <w:jc w:val="right"/>
      </w:pPr>
      <w:r>
        <w:t>Собрания депутатов</w:t>
      </w:r>
    </w:p>
    <w:p w:rsidR="00682F62" w:rsidRDefault="00682F62">
      <w:pPr>
        <w:pStyle w:val="ConsPlusNormal"/>
        <w:jc w:val="right"/>
      </w:pPr>
      <w:r>
        <w:t>Чебаркульского</w:t>
      </w:r>
    </w:p>
    <w:p w:rsidR="00682F62" w:rsidRDefault="00682F62">
      <w:pPr>
        <w:pStyle w:val="ConsPlusNormal"/>
        <w:jc w:val="right"/>
      </w:pPr>
      <w:r>
        <w:t>городского округа</w:t>
      </w:r>
    </w:p>
    <w:p w:rsidR="00682F62" w:rsidRDefault="00682F62">
      <w:pPr>
        <w:pStyle w:val="ConsPlusNormal"/>
        <w:jc w:val="right"/>
      </w:pPr>
      <w:r>
        <w:t>Челябинской области</w:t>
      </w:r>
    </w:p>
    <w:p w:rsidR="00682F62" w:rsidRDefault="00682F62">
      <w:pPr>
        <w:pStyle w:val="ConsPlusNormal"/>
        <w:jc w:val="right"/>
      </w:pPr>
      <w:r>
        <w:t>Н.С.БАЛАНДИН</w:t>
      </w:r>
    </w:p>
    <w:p w:rsidR="00682F62" w:rsidRDefault="00682F62">
      <w:pPr>
        <w:pStyle w:val="ConsPlusNormal"/>
        <w:jc w:val="both"/>
      </w:pPr>
    </w:p>
    <w:p w:rsidR="00682F62" w:rsidRDefault="00682F62">
      <w:pPr>
        <w:pStyle w:val="ConsPlusNormal"/>
        <w:jc w:val="right"/>
      </w:pPr>
      <w:r>
        <w:t>Глава Чебаркульского</w:t>
      </w:r>
    </w:p>
    <w:p w:rsidR="00682F62" w:rsidRDefault="00682F62">
      <w:pPr>
        <w:pStyle w:val="ConsPlusNormal"/>
        <w:jc w:val="right"/>
      </w:pPr>
      <w:r>
        <w:t>городского округа</w:t>
      </w:r>
    </w:p>
    <w:p w:rsidR="00682F62" w:rsidRDefault="00682F62">
      <w:pPr>
        <w:pStyle w:val="ConsPlusNormal"/>
        <w:jc w:val="right"/>
      </w:pPr>
      <w:r>
        <w:t>Челябинской области</w:t>
      </w:r>
    </w:p>
    <w:p w:rsidR="00682F62" w:rsidRDefault="00682F62">
      <w:pPr>
        <w:pStyle w:val="ConsPlusNormal"/>
        <w:jc w:val="right"/>
      </w:pPr>
      <w:r>
        <w:t>С.А.ВИНОГРАДОВА</w:t>
      </w:r>
    </w:p>
    <w:p w:rsidR="00682F62" w:rsidRDefault="00682F62">
      <w:pPr>
        <w:pStyle w:val="ConsPlusNormal"/>
        <w:jc w:val="both"/>
      </w:pPr>
    </w:p>
    <w:p w:rsidR="00682F62" w:rsidRDefault="00682F62">
      <w:pPr>
        <w:pStyle w:val="ConsPlusNormal"/>
        <w:jc w:val="both"/>
      </w:pPr>
    </w:p>
    <w:p w:rsidR="00682F62" w:rsidRDefault="00682F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C60" w:rsidRDefault="00E00C60"/>
    <w:sectPr w:rsidR="00E00C60" w:rsidSect="00DA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2F62"/>
    <w:rsid w:val="00282E04"/>
    <w:rsid w:val="00373A94"/>
    <w:rsid w:val="004C18A3"/>
    <w:rsid w:val="004F554E"/>
    <w:rsid w:val="005D403C"/>
    <w:rsid w:val="00682F62"/>
    <w:rsid w:val="006D3DEC"/>
    <w:rsid w:val="006E4591"/>
    <w:rsid w:val="0094238D"/>
    <w:rsid w:val="00AF33F0"/>
    <w:rsid w:val="00C07641"/>
    <w:rsid w:val="00C91F99"/>
    <w:rsid w:val="00E00C60"/>
    <w:rsid w:val="00EE6CE9"/>
    <w:rsid w:val="00FE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F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2F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2F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D1998AC059780781BBAB5573F609709A6E2FB8890D0EE528F629A528DAD2CD0B7FC531197B824696586628D969220A5EFD95683634FA7CE79B4EDF2z5J" TargetMode="External"/><Relationship Id="rId13" Type="http://schemas.openxmlformats.org/officeDocument/2006/relationships/hyperlink" Target="consultantplus://offline/ref=D0DD1998AC059780781BBAB5573F609709A6E2FB8890D0EE528F629A528DAD2CD0B7FC531197B824696482648C969220A5EFD95683634FA7CE79B4EDF2z5J" TargetMode="External"/><Relationship Id="rId18" Type="http://schemas.openxmlformats.org/officeDocument/2006/relationships/hyperlink" Target="consultantplus://offline/ref=D0DD1998AC059780781BBAB5573F609709A6E2FB8890D0EE528F629A528DAD2CD0B7FC531197B824696482648A969220A5EFD95683634FA7CE79B4EDF2z5J" TargetMode="External"/><Relationship Id="rId26" Type="http://schemas.openxmlformats.org/officeDocument/2006/relationships/hyperlink" Target="consultantplus://offline/ref=D0DD1998AC059780781BBAB5573F609709A6E2FB8890D0EE528F629A528DAD2CD0B7FC531197B824696586688A969220A5EFD95683634FA7CE79B4EDF2z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DD1998AC059780781BBAB5573F609709A6E2FB8890D0EE528F629A528DAD2CD0B7FC531197B824696481678A969220A5EFD95683634FA7CE79B4EDF2z5J" TargetMode="External"/><Relationship Id="rId7" Type="http://schemas.openxmlformats.org/officeDocument/2006/relationships/hyperlink" Target="consultantplus://offline/ref=D0DD1998AC059780781BBAB5573F609709A6E2FB8890D0EE528F629A528DAD2CD0B7FC531197B8246964806389969220A5EFD95683634FA7CE79B4EDF2z5J" TargetMode="External"/><Relationship Id="rId12" Type="http://schemas.openxmlformats.org/officeDocument/2006/relationships/hyperlink" Target="consultantplus://offline/ref=D0DD1998AC059780781BBAB5573F609709A6E2FB8890D0EE528F629A528DAD2CD0B7FC531197B8246965866884969220A5EFD95683634FA7CE79B4EDF2z5J" TargetMode="External"/><Relationship Id="rId17" Type="http://schemas.openxmlformats.org/officeDocument/2006/relationships/hyperlink" Target="consultantplus://offline/ref=D0DD1998AC059780781BA4B841533F9C03A5B5F28B90DCBB0BDD64CD0DDDAB7982F7A20A52D4AB25607885618EF9zEJ" TargetMode="External"/><Relationship Id="rId25" Type="http://schemas.openxmlformats.org/officeDocument/2006/relationships/hyperlink" Target="consultantplus://offline/ref=D0DD1998AC059780781BBAB5573F609709A6E2FB8890D0EE528F629A528DAD2CD0B7FC531197B824696584688E969220A5EFD95683634FA7CE79B4EDF2z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DD1998AC059780781BBAB5573F609709A6E2FB8890D0EE528F629A528DAD2CD0B7FC531197B8246964826488969220A5EFD95683634FA7CE79B4EDF2z5J" TargetMode="External"/><Relationship Id="rId20" Type="http://schemas.openxmlformats.org/officeDocument/2006/relationships/hyperlink" Target="consultantplus://offline/ref=D0DD1998AC059780781BBAB5573F609709A6E2FB8890D0EE528F629A528DAD2CD0B7FC531197B824696483668C969220A5EFD95683634FA7CE79B4EDF2z5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DD1998AC059780781BBAB5573F609709A6E2FB8890D7EC5F89629A528DAD2CD0B7FC530397E028696199618583C471E3FBz9J" TargetMode="External"/><Relationship Id="rId11" Type="http://schemas.openxmlformats.org/officeDocument/2006/relationships/hyperlink" Target="consultantplus://offline/ref=D0DD1998AC059780781BBAB5573F609709A6E2FB8890D0EE528F629A528DAD2CD0B7FC531197B824696584658D969220A5EFD95683634FA7CE79B4EDF2z5J" TargetMode="External"/><Relationship Id="rId24" Type="http://schemas.openxmlformats.org/officeDocument/2006/relationships/hyperlink" Target="consultantplus://offline/ref=D0DD1998AC059780781BBAB5573F609709A6E2FB8890D0EE528F629A528DAD2CD0B7FC531197B824696585698E969220A5EFD95683634FA7CE79B4EDF2z5J" TargetMode="External"/><Relationship Id="rId5" Type="http://schemas.openxmlformats.org/officeDocument/2006/relationships/hyperlink" Target="consultantplus://offline/ref=D0DD1998AC059780781BA4B841533F9C03A5B5F28B90DCBB0BDD64CD0DDDAB7982F7A20A52D4AB25607885618EF9zEJ" TargetMode="External"/><Relationship Id="rId15" Type="http://schemas.openxmlformats.org/officeDocument/2006/relationships/hyperlink" Target="consultantplus://offline/ref=D0DD1998AC059780781BBAB5573F609709A6E2FB8890D0EE528F629A528DAD2CD0B7FC531197B824696482648E969220A5EFD95683634FA7CE79B4EDF2z5J" TargetMode="External"/><Relationship Id="rId23" Type="http://schemas.openxmlformats.org/officeDocument/2006/relationships/hyperlink" Target="consultantplus://offline/ref=D0DD1998AC059780781BBAB5573F609709A6E2FB8890D0EE528F629A528DAD2CD0B7FC531197B824696481678A969220A5EFD95683634FA7CE79B4EDF2z5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0DD1998AC059780781BBAB5573F609709A6E2FB8890D0EE528F629A528DAD2CD0B7FC531197B8246965866884969220A5EFD95683634FA7CE79B4EDF2z5J" TargetMode="External"/><Relationship Id="rId19" Type="http://schemas.openxmlformats.org/officeDocument/2006/relationships/hyperlink" Target="consultantplus://offline/ref=D0DD1998AC059780781BBAB5573F609709A6E2FB8890D0EE528F629A528DAD2CD0B7FC531197B824696583628E969220A5EFD95683634FA7CE79B4EDF2z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DD1998AC059780781BBAB5573F609709A6E2FB8890D0EE528F629A528DAD2CD0B7FC530397E028696199618583C471E3FBz9J" TargetMode="External"/><Relationship Id="rId14" Type="http://schemas.openxmlformats.org/officeDocument/2006/relationships/hyperlink" Target="consultantplus://offline/ref=D0DD1998AC059780781BBAB5573F609709A6E2FB8890D0EE528F629A528DAD2CD0B7FC531197B824696482648D969220A5EFD95683634FA7CE79B4EDF2z5J" TargetMode="External"/><Relationship Id="rId22" Type="http://schemas.openxmlformats.org/officeDocument/2006/relationships/hyperlink" Target="consultantplus://offline/ref=D0DD1998AC059780781BBAB5573F609709A6E2FB8890D0EE528F629A528DAD2CD0B7FC531197B8246965846485969220A5EFD95683634FA7CE79B4EDF2z5J" TargetMode="External"/><Relationship Id="rId27" Type="http://schemas.openxmlformats.org/officeDocument/2006/relationships/hyperlink" Target="consultantplus://offline/ref=D0DD1998AC059780781BA4B841533F9C03AABCF58998DCBB0BDD64CD0DDDAB7990F7FA0451D8E1742D338A618B83C678FFB8D454F8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2631</Words>
  <Characters>15000</Characters>
  <Application>Microsoft Office Word</Application>
  <DocSecurity>0</DocSecurity>
  <Lines>125</Lines>
  <Paragraphs>35</Paragraphs>
  <ScaleCrop>false</ScaleCrop>
  <Company>Администрация Чебаркульского городского округа</Company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 А.А.</dc:creator>
  <cp:lastModifiedBy>Епифанов А.А.</cp:lastModifiedBy>
  <cp:revision>1</cp:revision>
  <dcterms:created xsi:type="dcterms:W3CDTF">2023-09-07T09:51:00Z</dcterms:created>
  <dcterms:modified xsi:type="dcterms:W3CDTF">2023-09-07T09:51:00Z</dcterms:modified>
</cp:coreProperties>
</file>