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7" w:rsidRDefault="00D414E7" w:rsidP="00D414E7">
      <w:pPr>
        <w:autoSpaceDE w:val="0"/>
        <w:autoSpaceDN w:val="0"/>
        <w:adjustRightInd w:val="0"/>
        <w:ind w:firstLine="5245"/>
        <w:jc w:val="right"/>
        <w:outlineLvl w:val="0"/>
        <w:rPr>
          <w:sz w:val="26"/>
          <w:szCs w:val="26"/>
        </w:rPr>
      </w:pPr>
      <w:r w:rsidRPr="00647DEB">
        <w:rPr>
          <w:sz w:val="26"/>
          <w:szCs w:val="26"/>
        </w:rPr>
        <w:t>Приложение</w:t>
      </w:r>
      <w:r>
        <w:rPr>
          <w:sz w:val="26"/>
          <w:szCs w:val="26"/>
        </w:rPr>
        <w:t xml:space="preserve"> 3</w:t>
      </w:r>
      <w:r w:rsidRPr="00647DEB">
        <w:rPr>
          <w:sz w:val="26"/>
          <w:szCs w:val="26"/>
        </w:rPr>
        <w:t xml:space="preserve"> </w:t>
      </w:r>
    </w:p>
    <w:p w:rsidR="00D414E7" w:rsidRDefault="00D414E7" w:rsidP="00D414E7">
      <w:pPr>
        <w:autoSpaceDE w:val="0"/>
        <w:autoSpaceDN w:val="0"/>
        <w:adjustRightInd w:val="0"/>
        <w:ind w:firstLine="5245"/>
        <w:jc w:val="right"/>
        <w:outlineLvl w:val="0"/>
        <w:rPr>
          <w:sz w:val="26"/>
          <w:szCs w:val="26"/>
        </w:rPr>
      </w:pPr>
      <w:r w:rsidRPr="00647DEB">
        <w:rPr>
          <w:sz w:val="26"/>
          <w:szCs w:val="26"/>
        </w:rPr>
        <w:t xml:space="preserve">к </w:t>
      </w:r>
      <w:r>
        <w:rPr>
          <w:sz w:val="26"/>
          <w:szCs w:val="26"/>
        </w:rPr>
        <w:t>решению Собрания депутатов Чебаркульского городского округа</w:t>
      </w:r>
    </w:p>
    <w:p w:rsidR="00D414E7" w:rsidRDefault="00D414E7" w:rsidP="00D414E7">
      <w:pPr>
        <w:autoSpaceDE w:val="0"/>
        <w:autoSpaceDN w:val="0"/>
        <w:adjustRightInd w:val="0"/>
        <w:ind w:firstLine="5245"/>
        <w:jc w:val="right"/>
        <w:outlineLvl w:val="0"/>
        <w:rPr>
          <w:sz w:val="26"/>
          <w:szCs w:val="26"/>
        </w:rPr>
      </w:pPr>
      <w:r>
        <w:rPr>
          <w:sz w:val="26"/>
          <w:szCs w:val="26"/>
        </w:rPr>
        <w:t>от «_28_»</w:t>
      </w:r>
      <w:proofErr w:type="spellStart"/>
      <w:r>
        <w:rPr>
          <w:sz w:val="26"/>
          <w:szCs w:val="26"/>
        </w:rPr>
        <w:t>_декабря</w:t>
      </w:r>
      <w:proofErr w:type="spellEnd"/>
      <w:r>
        <w:rPr>
          <w:sz w:val="26"/>
          <w:szCs w:val="26"/>
        </w:rPr>
        <w:t>_ 2022 г.  № _439</w:t>
      </w:r>
    </w:p>
    <w:p w:rsidR="00D414E7" w:rsidRDefault="00D414E7" w:rsidP="00D414E7">
      <w:pPr>
        <w:autoSpaceDE w:val="0"/>
        <w:autoSpaceDN w:val="0"/>
        <w:adjustRightInd w:val="0"/>
        <w:ind w:firstLine="540"/>
        <w:jc w:val="right"/>
        <w:rPr>
          <w:sz w:val="26"/>
          <w:szCs w:val="26"/>
        </w:rPr>
      </w:pPr>
    </w:p>
    <w:p w:rsidR="00D414E7" w:rsidRDefault="00D414E7" w:rsidP="00D414E7">
      <w:pPr>
        <w:autoSpaceDE w:val="0"/>
        <w:autoSpaceDN w:val="0"/>
        <w:adjustRightInd w:val="0"/>
        <w:ind w:firstLine="540"/>
        <w:jc w:val="right"/>
        <w:rPr>
          <w:sz w:val="26"/>
          <w:szCs w:val="26"/>
        </w:rPr>
      </w:pPr>
    </w:p>
    <w:p w:rsidR="00D414E7" w:rsidRPr="008562CF" w:rsidRDefault="00D414E7" w:rsidP="00D414E7">
      <w:pPr>
        <w:autoSpaceDE w:val="0"/>
        <w:autoSpaceDN w:val="0"/>
        <w:adjustRightInd w:val="0"/>
        <w:ind w:firstLine="540"/>
        <w:jc w:val="center"/>
        <w:rPr>
          <w:rFonts w:eastAsiaTheme="minorHAnsi"/>
          <w:b/>
          <w:sz w:val="28"/>
          <w:szCs w:val="28"/>
          <w:lang w:eastAsia="en-US"/>
        </w:rPr>
      </w:pPr>
      <w:r w:rsidRPr="008562CF">
        <w:rPr>
          <w:rFonts w:eastAsiaTheme="minorHAnsi"/>
          <w:b/>
          <w:sz w:val="28"/>
          <w:szCs w:val="28"/>
          <w:lang w:eastAsia="en-US"/>
        </w:rPr>
        <w:t>К</w:t>
      </w:r>
      <w:r>
        <w:rPr>
          <w:rFonts w:eastAsiaTheme="minorHAnsi"/>
          <w:b/>
          <w:sz w:val="28"/>
          <w:szCs w:val="28"/>
          <w:lang w:eastAsia="en-US"/>
        </w:rPr>
        <w:t>3</w:t>
      </w:r>
      <w:r w:rsidRPr="008562CF">
        <w:rPr>
          <w:rFonts w:eastAsiaTheme="minorHAnsi"/>
          <w:b/>
          <w:sz w:val="28"/>
          <w:szCs w:val="28"/>
          <w:lang w:eastAsia="en-US"/>
        </w:rPr>
        <w:t xml:space="preserve"> - коэффициент, учитывающий категорию арендатора.</w:t>
      </w:r>
    </w:p>
    <w:p w:rsidR="00D414E7" w:rsidRDefault="00D414E7" w:rsidP="00D414E7">
      <w:pPr>
        <w:autoSpaceDE w:val="0"/>
        <w:autoSpaceDN w:val="0"/>
        <w:adjustRightInd w:val="0"/>
        <w:ind w:firstLine="540"/>
        <w:jc w:val="right"/>
        <w:rPr>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701"/>
      </w:tblGrid>
      <w:tr w:rsidR="00D414E7" w:rsidRPr="00D84FEA" w:rsidTr="008745B6">
        <w:tc>
          <w:tcPr>
            <w:tcW w:w="8046" w:type="dxa"/>
            <w:shd w:val="clear" w:color="auto" w:fill="auto"/>
            <w:vAlign w:val="center"/>
          </w:tcPr>
          <w:p w:rsidR="00D414E7" w:rsidRPr="00D84FEA" w:rsidRDefault="00D414E7" w:rsidP="008745B6">
            <w:pPr>
              <w:pStyle w:val="ac"/>
              <w:jc w:val="left"/>
              <w:rPr>
                <w:rFonts w:ascii="Times New Roman" w:hAnsi="Times New Roman"/>
                <w:b/>
                <w:sz w:val="20"/>
                <w:szCs w:val="20"/>
              </w:rPr>
            </w:pPr>
            <w:r w:rsidRPr="00D84FEA">
              <w:rPr>
                <w:rFonts w:ascii="Times New Roman" w:hAnsi="Times New Roman"/>
                <w:b/>
                <w:sz w:val="20"/>
                <w:szCs w:val="20"/>
              </w:rPr>
              <w:t>Категория арендатора</w:t>
            </w:r>
          </w:p>
        </w:tc>
        <w:tc>
          <w:tcPr>
            <w:tcW w:w="1701" w:type="dxa"/>
            <w:shd w:val="clear" w:color="auto" w:fill="auto"/>
            <w:vAlign w:val="center"/>
          </w:tcPr>
          <w:p w:rsidR="00D414E7" w:rsidRPr="00D84FEA" w:rsidRDefault="00D414E7" w:rsidP="008745B6">
            <w:pPr>
              <w:pStyle w:val="ac"/>
              <w:jc w:val="center"/>
              <w:rPr>
                <w:rFonts w:ascii="Times New Roman" w:hAnsi="Times New Roman"/>
                <w:b/>
                <w:sz w:val="20"/>
                <w:szCs w:val="20"/>
              </w:rPr>
            </w:pPr>
            <w:r>
              <w:rPr>
                <w:rFonts w:ascii="Times New Roman" w:hAnsi="Times New Roman"/>
                <w:b/>
                <w:sz w:val="20"/>
                <w:szCs w:val="20"/>
              </w:rPr>
              <w:t>Значение К3</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общероссийских общественных организаций инвалидов, в том числе территориальных (структурных) подразделений таких организаций, являющихся юридическими лицами, среди членов которых инвалиды и их законные представители составляют не менее 80 процентов, а также союзы таких общероссийских общественных организаций инвалидов, - в отношении земельных участков, используемых ими для осуществления уставной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0,001</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организаций, уставный капитал которых полностью состоит из вкладов указанных в пункте 1 части 10 Закона 257-ЗО от 24.04.2008г. юридических лиц,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товаров, при производстве и (или) реализации которых организации не подлежат освобождению от уплаты земельного налога в отношении земельных участков, используемых ими для производства и (или) реализации этих товаров, утвержденному Правительством Российской Федерации), работ и услуг (за исключением брокерских и иных посреднических услуг);</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0,001</w:t>
            </w:r>
          </w:p>
        </w:tc>
      </w:tr>
      <w:tr w:rsidR="00D414E7" w:rsidRPr="00D84FEA" w:rsidTr="008745B6">
        <w:tc>
          <w:tcPr>
            <w:tcW w:w="8046" w:type="dxa"/>
            <w:shd w:val="clear" w:color="auto" w:fill="auto"/>
          </w:tcPr>
          <w:p w:rsidR="00D414E7" w:rsidRPr="00D84FEA" w:rsidRDefault="00D414E7" w:rsidP="008745B6">
            <w:pPr>
              <w:pStyle w:val="ac"/>
              <w:widowControl w:val="0"/>
              <w:numPr>
                <w:ilvl w:val="0"/>
                <w:numId w:val="3"/>
              </w:numPr>
              <w:rPr>
                <w:rFonts w:ascii="Times New Roman" w:hAnsi="Times New Roman"/>
                <w:sz w:val="20"/>
                <w:szCs w:val="20"/>
              </w:rPr>
            </w:pPr>
            <w:r w:rsidRPr="00D84FEA">
              <w:rPr>
                <w:rFonts w:ascii="Times New Roman" w:hAnsi="Times New Roman"/>
                <w:sz w:val="20"/>
                <w:szCs w:val="20"/>
              </w:rPr>
              <w:t>организаций, единственными собственниками имущества которых являются указанные в пункте 1 части 10 Закона 257-ЗО от 24.04.2008г. юридические лица,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0,001</w:t>
            </w:r>
          </w:p>
        </w:tc>
      </w:tr>
      <w:tr w:rsidR="00D414E7" w:rsidRPr="00D84FEA" w:rsidTr="008745B6">
        <w:tc>
          <w:tcPr>
            <w:tcW w:w="8046" w:type="dxa"/>
            <w:shd w:val="clear" w:color="auto" w:fill="auto"/>
          </w:tcPr>
          <w:p w:rsidR="00D414E7" w:rsidRPr="00D84FEA" w:rsidRDefault="00D414E7" w:rsidP="008745B6">
            <w:pPr>
              <w:pStyle w:val="ac"/>
              <w:widowControl w:val="0"/>
              <w:numPr>
                <w:ilvl w:val="0"/>
                <w:numId w:val="3"/>
              </w:numPr>
              <w:rPr>
                <w:rFonts w:ascii="Times New Roman" w:hAnsi="Times New Roman"/>
                <w:sz w:val="20"/>
                <w:szCs w:val="20"/>
              </w:rPr>
            </w:pPr>
            <w:r w:rsidRPr="00D84FEA">
              <w:rPr>
                <w:rFonts w:ascii="Times New Roman" w:hAnsi="Times New Roman"/>
                <w:sz w:val="20"/>
                <w:szCs w:val="20"/>
              </w:rPr>
              <w:t>субъектов народных художественных промыслов, субъектов ремесленной деятельности - в отношении земельных участков, используемых ими для производства и реализации изделий народных художественных промыслов и ремесленных изделий;</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0,001</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предоставленных им для осуществления деятельности по проектированию, строительству и реконструкции объектов, полностью финансируемой за счет средств бюджетов всех уровней бюджетной системы;</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религиозных организаций - в отношении земельных участков, используемых ими для осуществления религиозной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0,001</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организаций, осуществляющих туристско-рекреационную, лечебно-оздоровительную деятельность, - в отношении земельных участков, используемых ими для указанной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3"/>
              </w:numPr>
              <w:rPr>
                <w:rFonts w:ascii="Times New Roman" w:hAnsi="Times New Roman"/>
                <w:sz w:val="20"/>
                <w:szCs w:val="20"/>
              </w:rPr>
            </w:pPr>
            <w:r w:rsidRPr="00D84FEA">
              <w:rPr>
                <w:rFonts w:ascii="Times New Roman" w:hAnsi="Times New Roman"/>
                <w:sz w:val="20"/>
                <w:szCs w:val="20"/>
              </w:rPr>
              <w:t>организаций, осуществляющих деятельность по оздоровлению и отдыху детей, - в отношении земельных участков, используемых ими для указанной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 в отношении земельных участков, предоставленных им для нужд аэродромов;</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предназначенных для размещения объектов физической культуры и спорта;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граждан - в отношении земельных участков, предоставленных им для строительства индивидуальных жилых домов в первые три года с даты заключения договора аренды земельного участка;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ind w:left="360" w:hanging="360"/>
              <w:rPr>
                <w:rFonts w:ascii="Times New Roman" w:hAnsi="Times New Roman"/>
                <w:sz w:val="20"/>
                <w:szCs w:val="20"/>
              </w:rPr>
            </w:pPr>
            <w:r w:rsidRPr="00D84FEA">
              <w:rPr>
                <w:rFonts w:ascii="Times New Roman" w:hAnsi="Times New Roman"/>
                <w:sz w:val="20"/>
                <w:szCs w:val="20"/>
              </w:rPr>
              <w:t>12-1) граждан - в отношении земельных участков, предоставленных им для строительства индивидуальных жилых домов в четвертый и последующие годы с даты заключения договора аренды земельного участка;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ind w:left="360" w:hanging="360"/>
              <w:rPr>
                <w:rFonts w:ascii="Times New Roman" w:hAnsi="Times New Roman"/>
                <w:sz w:val="20"/>
                <w:szCs w:val="20"/>
              </w:rPr>
            </w:pPr>
            <w:r w:rsidRPr="00D84FEA">
              <w:rPr>
                <w:rFonts w:ascii="Times New Roman" w:hAnsi="Times New Roman"/>
                <w:sz w:val="20"/>
                <w:szCs w:val="20"/>
              </w:rPr>
              <w:t>12-2) граждан - в отношении земельных участков, предоставленных им для эксплуатации индивидуальных жилых домов;</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 xml:space="preserve">гаражно-строительных кооперативов и граждан, владеющих гаражами, - в отношении </w:t>
            </w:r>
            <w:r w:rsidRPr="00D84FEA">
              <w:rPr>
                <w:rFonts w:ascii="Times New Roman" w:hAnsi="Times New Roman"/>
                <w:sz w:val="20"/>
                <w:szCs w:val="20"/>
              </w:rPr>
              <w:lastRenderedPageBreak/>
              <w:t>земельных участков, предоставленных им для эксплуатации гаражей;</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lastRenderedPageBreak/>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lastRenderedPageBreak/>
              <w:t>гаражно-строительных кооперативов - в отношении земельных участков, предоставленных им для строительства индивидуальных гаражей, не предназначенных для коммерческого использования;</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граждан, владеющих овощехранилищами, голубятнями, - в отношении земельных участков, предоставленных им для эксплуатации овощехранилищ, голубятен;</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садоводческих, огороднических некоммерческих организаций - в отношении земельных участков, предоставленных им для садоводства, огородничества, эксплуатации овощехранилищ;</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граждан, ведущих личное подсобное хозяйство, садоводство, огородничество, животноводство, - в отношении земельных участков, предоставленных им для ведения личного подсобного хозяйства, садоводства, огородничества, животноводства;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ind w:left="360" w:hanging="360"/>
              <w:rPr>
                <w:rFonts w:ascii="Times New Roman" w:hAnsi="Times New Roman"/>
                <w:sz w:val="20"/>
                <w:szCs w:val="20"/>
              </w:rPr>
            </w:pPr>
            <w:r w:rsidRPr="00D84FEA">
              <w:rPr>
                <w:rFonts w:ascii="Times New Roman" w:hAnsi="Times New Roman"/>
                <w:sz w:val="20"/>
                <w:szCs w:val="20"/>
              </w:rPr>
              <w:t>17-1) граждан - в отношении земельных участков, предоставленных им для сенокошения и выпаса скота;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органов судебной системы - в отношении земельных участков, предоставленных им для непосредственного выполнения возложенных на них функций;</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некоммерческих организаций территориального общественного самоуправления - в отношении земельных участков, предоставленных им для размещения детских и спортивных площадок;</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осуществляющих рекультивацию земель, - в отношении земельных участков, нарушенных при добыче полезных ископаемых;</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осуществляющих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 - в отношении земельных участков, предоставленных им для производства продукции из отходов потребления и для хранения отходов, находящихся в их собственности и полностью перерабатываемых указанными организациями.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осуществляющих деятельность в области обращения с отходами, - в отношении земельных участков, предоставленных им для размещения и обезвреживания отходов производства и потребления;</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предоставленных им для оказания услуг пассажирского транспорта общего пользования (за исключением такси);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субъектов малого и среднего предпринимательства - в отношении земельных участков, предоставленных им для осуществления предпринимательской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предоставленных им для эксплуатации гидротехнических сооружений, предназначенных для использования водных ресурсов и предотвращения негативного воздействия вод и жидких отходов;</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арендаторов - в отношении земельных участков из состава сельскохозяйственных угодий, которые не находились в безвозмездном пользовании или в аренде в течение трех и более лет до даты заключения договора аренды земельного участка, в первый год аренды таких земельных участков;</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предназначенных для размещения объектов образования и науки;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предназначенных для размещения объектов здравоохранения;</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 в отношении земельных участков, предназначенных для размещения объектов социального обеспечения;</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арендаторов - в отношении земельных участков, предназначенных для размещения объектов культуры и искусства;</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организаций и индивидуальных предпринимателей, осуществляющих деятельность по организации питания обучающихся в образовательных организациях дошкольного, начального, основного и среднего общего образования, - в отношении земельных участков, используемых ими для осуществления указанной деятельности;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numPr>
                <w:ilvl w:val="0"/>
                <w:numId w:val="4"/>
              </w:numPr>
              <w:rPr>
                <w:rFonts w:ascii="Times New Roman" w:hAnsi="Times New Roman"/>
                <w:sz w:val="20"/>
                <w:szCs w:val="20"/>
              </w:rPr>
            </w:pPr>
            <w:r w:rsidRPr="00D84FEA">
              <w:rPr>
                <w:rFonts w:ascii="Times New Roman" w:hAnsi="Times New Roman"/>
                <w:sz w:val="20"/>
                <w:szCs w:val="20"/>
              </w:rPr>
              <w:t>резидентов территорий опережающего социально-экономического развития, созданных на территориях монопрофильных муниципальных образований Челябинской области (моногородов), - в отношении земельных участков, предоставленных им для реализации инвестиционных проектов в соответствии со статьей 34 Федерального закона «О территориях опережающего социально-экономического развития в Российской Федерации»;</w:t>
            </w:r>
          </w:p>
        </w:tc>
        <w:tc>
          <w:tcPr>
            <w:tcW w:w="1701" w:type="dxa"/>
            <w:shd w:val="clear" w:color="auto" w:fill="auto"/>
          </w:tcPr>
          <w:p w:rsidR="00D414E7" w:rsidRPr="00D84FEA" w:rsidRDefault="00D414E7" w:rsidP="008745B6">
            <w:pPr>
              <w:pStyle w:val="ac"/>
              <w:jc w:val="center"/>
              <w:rPr>
                <w:rFonts w:ascii="Times New Roman" w:hAnsi="Times New Roman"/>
                <w:sz w:val="20"/>
                <w:szCs w:val="20"/>
              </w:rPr>
            </w:pPr>
            <w:r w:rsidRPr="00D84FEA">
              <w:rPr>
                <w:rFonts w:ascii="Times New Roman" w:hAnsi="Times New Roman"/>
                <w:sz w:val="20"/>
                <w:szCs w:val="20"/>
              </w:rPr>
              <w:t>1</w:t>
            </w:r>
          </w:p>
        </w:tc>
      </w:tr>
      <w:tr w:rsidR="00D414E7" w:rsidRPr="00D84FEA" w:rsidTr="008745B6">
        <w:tc>
          <w:tcPr>
            <w:tcW w:w="8046" w:type="dxa"/>
            <w:shd w:val="clear" w:color="auto" w:fill="auto"/>
          </w:tcPr>
          <w:p w:rsidR="00D414E7" w:rsidRPr="00D84FEA" w:rsidRDefault="00D414E7" w:rsidP="008745B6">
            <w:pPr>
              <w:pStyle w:val="ac"/>
              <w:widowControl w:val="0"/>
              <w:numPr>
                <w:ilvl w:val="0"/>
                <w:numId w:val="4"/>
              </w:numPr>
              <w:rPr>
                <w:rFonts w:ascii="Times New Roman" w:hAnsi="Times New Roman"/>
                <w:sz w:val="20"/>
                <w:szCs w:val="20"/>
              </w:rPr>
            </w:pPr>
            <w:r w:rsidRPr="00D84FEA">
              <w:rPr>
                <w:rFonts w:ascii="Times New Roman" w:hAnsi="Times New Roman"/>
                <w:sz w:val="20"/>
                <w:szCs w:val="20"/>
              </w:rPr>
              <w:lastRenderedPageBreak/>
              <w:t>организаций и индивидуальных предпринимателей - в отношении земельных участков, предоставленных им для строительства и (или) эксплуатации автозаправочных станций, предназначенных для заправки транспортных средств природным газом</w:t>
            </w:r>
          </w:p>
        </w:tc>
        <w:tc>
          <w:tcPr>
            <w:tcW w:w="1701" w:type="dxa"/>
            <w:shd w:val="clear" w:color="auto" w:fill="auto"/>
          </w:tcPr>
          <w:p w:rsidR="00D414E7" w:rsidRPr="00D84FEA" w:rsidRDefault="00D414E7" w:rsidP="008745B6">
            <w:pPr>
              <w:pStyle w:val="ac"/>
              <w:widowControl w:val="0"/>
              <w:jc w:val="center"/>
              <w:rPr>
                <w:rFonts w:ascii="Times New Roman" w:hAnsi="Times New Roman"/>
                <w:sz w:val="20"/>
                <w:szCs w:val="20"/>
              </w:rPr>
            </w:pPr>
            <w:r w:rsidRPr="00D84FEA">
              <w:rPr>
                <w:rFonts w:ascii="Times New Roman" w:hAnsi="Times New Roman"/>
                <w:sz w:val="20"/>
                <w:szCs w:val="20"/>
              </w:rPr>
              <w:t>1</w:t>
            </w:r>
          </w:p>
        </w:tc>
      </w:tr>
    </w:tbl>
    <w:p w:rsidR="00D414E7" w:rsidRDefault="00D414E7" w:rsidP="00D414E7">
      <w:pPr>
        <w:autoSpaceDE w:val="0"/>
        <w:autoSpaceDN w:val="0"/>
        <w:adjustRightInd w:val="0"/>
        <w:ind w:firstLine="540"/>
        <w:jc w:val="right"/>
        <w:rPr>
          <w:sz w:val="26"/>
          <w:szCs w:val="26"/>
        </w:rPr>
      </w:pPr>
    </w:p>
    <w:p w:rsidR="00D414E7" w:rsidRDefault="00D414E7" w:rsidP="00D414E7">
      <w:pPr>
        <w:autoSpaceDE w:val="0"/>
        <w:autoSpaceDN w:val="0"/>
        <w:adjustRightInd w:val="0"/>
        <w:ind w:firstLine="540"/>
        <w:jc w:val="right"/>
        <w:rPr>
          <w:sz w:val="26"/>
          <w:szCs w:val="26"/>
        </w:rPr>
      </w:pPr>
    </w:p>
    <w:p w:rsidR="00D414E7" w:rsidRDefault="00D414E7" w:rsidP="00D414E7">
      <w:pPr>
        <w:autoSpaceDE w:val="0"/>
        <w:autoSpaceDN w:val="0"/>
        <w:adjustRightInd w:val="0"/>
        <w:ind w:firstLine="540"/>
        <w:jc w:val="both"/>
      </w:pPr>
      <w:r w:rsidRPr="00AB0F73">
        <w:t xml:space="preserve"> </w:t>
      </w:r>
    </w:p>
    <w:tbl>
      <w:tblPr>
        <w:tblW w:w="9745" w:type="dxa"/>
        <w:tblInd w:w="108" w:type="dxa"/>
        <w:tblLayout w:type="fixed"/>
        <w:tblLook w:val="01E0"/>
      </w:tblPr>
      <w:tblGrid>
        <w:gridCol w:w="4941"/>
        <w:gridCol w:w="4804"/>
      </w:tblGrid>
      <w:tr w:rsidR="00D414E7" w:rsidRPr="008562CF" w:rsidTr="008745B6">
        <w:tc>
          <w:tcPr>
            <w:tcW w:w="4941" w:type="dxa"/>
            <w:vAlign w:val="bottom"/>
          </w:tcPr>
          <w:p w:rsidR="00D414E7" w:rsidRPr="008562CF" w:rsidRDefault="00D414E7" w:rsidP="008745B6">
            <w:pPr>
              <w:widowControl w:val="0"/>
              <w:autoSpaceDE w:val="0"/>
              <w:autoSpaceDN w:val="0"/>
              <w:adjustRightInd w:val="0"/>
              <w:rPr>
                <w:sz w:val="28"/>
                <w:szCs w:val="28"/>
              </w:rPr>
            </w:pPr>
          </w:p>
          <w:p w:rsidR="00D414E7" w:rsidRPr="008562CF" w:rsidRDefault="00D414E7" w:rsidP="008745B6">
            <w:pPr>
              <w:widowControl w:val="0"/>
              <w:autoSpaceDE w:val="0"/>
              <w:autoSpaceDN w:val="0"/>
              <w:adjustRightInd w:val="0"/>
              <w:rPr>
                <w:sz w:val="28"/>
                <w:szCs w:val="28"/>
              </w:rPr>
            </w:pPr>
            <w:r w:rsidRPr="008562CF">
              <w:rPr>
                <w:sz w:val="28"/>
                <w:szCs w:val="28"/>
              </w:rPr>
              <w:t xml:space="preserve">Заместитель главы по имущественным и земельным отношениям, </w:t>
            </w:r>
          </w:p>
          <w:p w:rsidR="00D414E7" w:rsidRPr="008562CF" w:rsidRDefault="00D414E7" w:rsidP="008745B6">
            <w:pPr>
              <w:widowControl w:val="0"/>
              <w:autoSpaceDE w:val="0"/>
              <w:autoSpaceDN w:val="0"/>
              <w:adjustRightInd w:val="0"/>
              <w:rPr>
                <w:sz w:val="28"/>
                <w:szCs w:val="28"/>
              </w:rPr>
            </w:pPr>
            <w:r w:rsidRPr="008562CF">
              <w:rPr>
                <w:sz w:val="28"/>
                <w:szCs w:val="28"/>
              </w:rPr>
              <w:t>начальник УМС администрации ЧГО</w:t>
            </w:r>
          </w:p>
        </w:tc>
        <w:tc>
          <w:tcPr>
            <w:tcW w:w="4804" w:type="dxa"/>
            <w:vAlign w:val="bottom"/>
          </w:tcPr>
          <w:p w:rsidR="00D414E7" w:rsidRPr="008562CF" w:rsidRDefault="00D414E7" w:rsidP="008745B6">
            <w:pPr>
              <w:widowControl w:val="0"/>
              <w:autoSpaceDE w:val="0"/>
              <w:autoSpaceDN w:val="0"/>
              <w:adjustRightInd w:val="0"/>
              <w:jc w:val="right"/>
              <w:rPr>
                <w:sz w:val="28"/>
                <w:szCs w:val="28"/>
              </w:rPr>
            </w:pPr>
            <w:r w:rsidRPr="008562CF">
              <w:rPr>
                <w:sz w:val="28"/>
                <w:szCs w:val="28"/>
              </w:rPr>
              <w:t xml:space="preserve">А.В. </w:t>
            </w:r>
            <w:proofErr w:type="spellStart"/>
            <w:r w:rsidRPr="008562CF">
              <w:rPr>
                <w:sz w:val="28"/>
                <w:szCs w:val="28"/>
              </w:rPr>
              <w:t>Устьянцева</w:t>
            </w:r>
            <w:proofErr w:type="spellEnd"/>
          </w:p>
        </w:tc>
      </w:tr>
    </w:tbl>
    <w:p w:rsidR="00D414E7" w:rsidRPr="00AB0F73" w:rsidRDefault="00D414E7" w:rsidP="00D414E7">
      <w:pPr>
        <w:autoSpaceDE w:val="0"/>
        <w:autoSpaceDN w:val="0"/>
        <w:adjustRightInd w:val="0"/>
        <w:ind w:firstLine="540"/>
        <w:jc w:val="both"/>
      </w:pPr>
    </w:p>
    <w:p w:rsidR="00D414E7" w:rsidRPr="00AB0F73" w:rsidRDefault="00D414E7" w:rsidP="00D414E7">
      <w:pPr>
        <w:autoSpaceDE w:val="0"/>
        <w:autoSpaceDN w:val="0"/>
        <w:adjustRightInd w:val="0"/>
      </w:pPr>
    </w:p>
    <w:p w:rsidR="00F135FB" w:rsidRDefault="00F135FB">
      <w:bookmarkStart w:id="0" w:name="_GoBack"/>
      <w:bookmarkEnd w:id="0"/>
    </w:p>
    <w:sectPr w:rsidR="00F135FB" w:rsidSect="00BA1A8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9E6"/>
    <w:multiLevelType w:val="hybridMultilevel"/>
    <w:tmpl w:val="E392E168"/>
    <w:lvl w:ilvl="0" w:tplc="7AB4E822">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57284"/>
    <w:multiLevelType w:val="hybridMultilevel"/>
    <w:tmpl w:val="5220F7C4"/>
    <w:lvl w:ilvl="0" w:tplc="0CF69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B5D6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D6076B"/>
    <w:multiLevelType w:val="hybridMultilevel"/>
    <w:tmpl w:val="668228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600E8"/>
    <w:multiLevelType w:val="hybridMultilevel"/>
    <w:tmpl w:val="C8F29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D3C3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DF4EBE"/>
    <w:multiLevelType w:val="hybridMultilevel"/>
    <w:tmpl w:val="625AA1C6"/>
    <w:lvl w:ilvl="0" w:tplc="0CF692FC">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1206"/>
    <w:rsid w:val="00171206"/>
    <w:rsid w:val="00AB25A2"/>
    <w:rsid w:val="00AC6844"/>
    <w:rsid w:val="00D414E7"/>
    <w:rsid w:val="00F1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414E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D414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14E7"/>
    <w:rPr>
      <w:rFonts w:ascii="Tahoma" w:hAnsi="Tahoma" w:cs="Tahoma"/>
      <w:sz w:val="16"/>
      <w:szCs w:val="16"/>
    </w:rPr>
  </w:style>
  <w:style w:type="character" w:customStyle="1" w:styleId="a4">
    <w:name w:val="Текст выноски Знак"/>
    <w:basedOn w:val="a0"/>
    <w:link w:val="a3"/>
    <w:uiPriority w:val="99"/>
    <w:semiHidden/>
    <w:rsid w:val="00D414E7"/>
    <w:rPr>
      <w:rFonts w:ascii="Tahoma" w:eastAsia="Times New Roman" w:hAnsi="Tahoma" w:cs="Tahoma"/>
      <w:sz w:val="16"/>
      <w:szCs w:val="16"/>
      <w:lang w:eastAsia="ru-RU"/>
    </w:rPr>
  </w:style>
  <w:style w:type="paragraph" w:styleId="a5">
    <w:name w:val="Body Text"/>
    <w:basedOn w:val="a"/>
    <w:link w:val="a6"/>
    <w:rsid w:val="00D414E7"/>
    <w:pPr>
      <w:jc w:val="both"/>
    </w:pPr>
  </w:style>
  <w:style w:type="character" w:customStyle="1" w:styleId="a6">
    <w:name w:val="Основной текст Знак"/>
    <w:basedOn w:val="a0"/>
    <w:link w:val="a5"/>
    <w:rsid w:val="00D414E7"/>
    <w:rPr>
      <w:rFonts w:ascii="Times New Roman" w:eastAsia="Times New Roman" w:hAnsi="Times New Roman" w:cs="Times New Roman"/>
      <w:sz w:val="24"/>
      <w:szCs w:val="24"/>
      <w:lang w:eastAsia="ru-RU"/>
    </w:rPr>
  </w:style>
  <w:style w:type="paragraph" w:customStyle="1" w:styleId="ConsPlusNormal">
    <w:name w:val="ConsPlusNormal"/>
    <w:rsid w:val="00D414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414E7"/>
    <w:pPr>
      <w:spacing w:before="100" w:beforeAutospacing="1" w:after="100" w:afterAutospacing="1"/>
    </w:pPr>
  </w:style>
  <w:style w:type="paragraph" w:styleId="a7">
    <w:name w:val="List Paragraph"/>
    <w:basedOn w:val="a"/>
    <w:uiPriority w:val="34"/>
    <w:qFormat/>
    <w:rsid w:val="00D414E7"/>
    <w:pPr>
      <w:ind w:left="720"/>
      <w:contextualSpacing/>
    </w:pPr>
  </w:style>
  <w:style w:type="paragraph" w:styleId="a8">
    <w:name w:val="header"/>
    <w:basedOn w:val="a"/>
    <w:link w:val="a9"/>
    <w:uiPriority w:val="99"/>
    <w:semiHidden/>
    <w:unhideWhenUsed/>
    <w:rsid w:val="00D414E7"/>
    <w:pPr>
      <w:tabs>
        <w:tab w:val="center" w:pos="4677"/>
        <w:tab w:val="right" w:pos="9355"/>
      </w:tabs>
    </w:pPr>
  </w:style>
  <w:style w:type="character" w:customStyle="1" w:styleId="a9">
    <w:name w:val="Верхний колонтитул Знак"/>
    <w:basedOn w:val="a0"/>
    <w:link w:val="a8"/>
    <w:uiPriority w:val="99"/>
    <w:semiHidden/>
    <w:rsid w:val="00D414E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414E7"/>
    <w:pPr>
      <w:tabs>
        <w:tab w:val="center" w:pos="4677"/>
        <w:tab w:val="right" w:pos="9355"/>
      </w:tabs>
    </w:pPr>
  </w:style>
  <w:style w:type="character" w:customStyle="1" w:styleId="ab">
    <w:name w:val="Нижний колонтитул Знак"/>
    <w:basedOn w:val="a0"/>
    <w:link w:val="aa"/>
    <w:uiPriority w:val="99"/>
    <w:semiHidden/>
    <w:rsid w:val="00D414E7"/>
    <w:rPr>
      <w:rFonts w:ascii="Times New Roman" w:eastAsia="Times New Roman" w:hAnsi="Times New Roman" w:cs="Times New Roman"/>
      <w:sz w:val="24"/>
      <w:szCs w:val="24"/>
      <w:lang w:eastAsia="ru-RU"/>
    </w:rPr>
  </w:style>
  <w:style w:type="paragraph" w:customStyle="1" w:styleId="ac">
    <w:name w:val="ТекстРус"/>
    <w:basedOn w:val="a"/>
    <w:qFormat/>
    <w:rsid w:val="00D414E7"/>
    <w:pPr>
      <w:jc w:val="both"/>
    </w:pPr>
    <w:rPr>
      <w:rFonts w:ascii="Calibri" w:eastAsia="Calibri" w:hAnsi="Calibri"/>
      <w:lang w:eastAsia="en-US"/>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Зна"/>
    <w:basedOn w:val="a"/>
    <w:link w:val="ae"/>
    <w:uiPriority w:val="99"/>
    <w:semiHidden/>
    <w:unhideWhenUsed/>
    <w:rsid w:val="00D414E7"/>
    <w:pPr>
      <w:spacing w:after="200" w:line="276" w:lineRule="auto"/>
    </w:pPr>
    <w:rPr>
      <w:rFonts w:ascii="Calibri" w:eastAsia="Calibri" w:hAnsi="Calibr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uiPriority w:val="99"/>
    <w:semiHidden/>
    <w:rsid w:val="00D414E7"/>
    <w:rPr>
      <w:rFonts w:ascii="Calibri" w:eastAsia="Calibri" w:hAnsi="Calibri" w:cs="Times New Roman"/>
      <w:sz w:val="20"/>
      <w:szCs w:val="20"/>
    </w:rPr>
  </w:style>
  <w:style w:type="character" w:styleId="af">
    <w:name w:val="footnote reference"/>
    <w:aliases w:val="Знак сноски-FN,Знак сноски 1,ftref,сноска,вески,Ciae niinee-FN,Referencia nota al pie,fr,Used by Word for Help footnote symbols,ООО Знак сноски"/>
    <w:semiHidden/>
    <w:unhideWhenUsed/>
    <w:rsid w:val="00D414E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6999</Characters>
  <Application>Microsoft Office Word</Application>
  <DocSecurity>0</DocSecurity>
  <Lines>58</Lines>
  <Paragraphs>16</Paragraphs>
  <ScaleCrop>false</ScaleCrop>
  <Company>Администрация Чебаркульского городского округа</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Епифанов А.А.</cp:lastModifiedBy>
  <cp:revision>2</cp:revision>
  <dcterms:created xsi:type="dcterms:W3CDTF">2023-01-10T11:25:00Z</dcterms:created>
  <dcterms:modified xsi:type="dcterms:W3CDTF">2023-01-10T11:25:00Z</dcterms:modified>
</cp:coreProperties>
</file>