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A2509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1857E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_»  </w:t>
      </w:r>
      <w:r w:rsidR="001857E9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2023 г. № </w:t>
      </w:r>
      <w:r w:rsidR="001857E9">
        <w:rPr>
          <w:rFonts w:ascii="Times New Roman" w:hAnsi="Times New Roman" w:cs="Times New Roman"/>
          <w:sz w:val="24"/>
          <w:szCs w:val="24"/>
        </w:rPr>
        <w:t xml:space="preserve"> 479/269</w:t>
      </w:r>
    </w:p>
    <w:p w:rsidR="00CA2509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Порядок учета предложений граждан по проекту Устава,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проекту муниципального правового акта о внесении изменений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и дополнений в Устав муниципального образования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«Чебаркульский городской округ», и участия граждан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в его обсуждении (приложение)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/утвержден решением Собрания депутатов от «01» февраля  2022г. № 256;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размещен на официальном сайте </w:t>
      </w:r>
      <w:proofErr w:type="spellStart"/>
      <w:r w:rsidRPr="00294817">
        <w:rPr>
          <w:color w:val="483B3F"/>
          <w:sz w:val="20"/>
          <w:szCs w:val="20"/>
          <w:lang w:val="en-US"/>
        </w:rPr>
        <w:t>sdchebarcul</w:t>
      </w:r>
      <w:proofErr w:type="spellEnd"/>
      <w:r w:rsidRPr="00294817">
        <w:rPr>
          <w:color w:val="483B3F"/>
          <w:sz w:val="20"/>
          <w:szCs w:val="20"/>
        </w:rPr>
        <w:t>.</w:t>
      </w:r>
      <w:proofErr w:type="spellStart"/>
      <w:r w:rsidRPr="00294817">
        <w:rPr>
          <w:color w:val="483B3F"/>
          <w:sz w:val="20"/>
          <w:szCs w:val="20"/>
          <w:lang w:val="en-US"/>
        </w:rPr>
        <w:t>eps</w:t>
      </w:r>
      <w:proofErr w:type="spellEnd"/>
      <w:r w:rsidRPr="00294817">
        <w:rPr>
          <w:color w:val="483B3F"/>
          <w:sz w:val="20"/>
          <w:szCs w:val="20"/>
        </w:rPr>
        <w:t>74.</w:t>
      </w:r>
      <w:r w:rsidRPr="00294817">
        <w:rPr>
          <w:color w:val="483B3F"/>
          <w:sz w:val="20"/>
          <w:szCs w:val="20"/>
          <w:lang w:val="en-US"/>
        </w:rPr>
        <w:t>ru</w:t>
      </w:r>
      <w:r w:rsidRPr="00294817">
        <w:rPr>
          <w:color w:val="483B3F"/>
          <w:sz w:val="20"/>
          <w:szCs w:val="20"/>
        </w:rPr>
        <w:t>; опубликован в газете «</w:t>
      </w:r>
      <w:proofErr w:type="spellStart"/>
      <w:r w:rsidRPr="00294817">
        <w:rPr>
          <w:color w:val="483B3F"/>
          <w:sz w:val="20"/>
          <w:szCs w:val="20"/>
        </w:rPr>
        <w:t>Южноуралец</w:t>
      </w:r>
      <w:proofErr w:type="spellEnd"/>
      <w:r w:rsidRPr="00294817">
        <w:rPr>
          <w:color w:val="483B3F"/>
          <w:sz w:val="20"/>
          <w:szCs w:val="20"/>
        </w:rPr>
        <w:t>» №5 (13593) от 04.02.2022г.)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0"/>
          <w:szCs w:val="20"/>
        </w:rPr>
      </w:pPr>
      <w:r w:rsidRPr="00294817">
        <w:rPr>
          <w:rFonts w:ascii="Arial" w:hAnsi="Arial" w:cs="Arial"/>
          <w:color w:val="483B3F"/>
          <w:sz w:val="20"/>
          <w:szCs w:val="20"/>
        </w:rPr>
        <w:t>1</w:t>
      </w:r>
      <w:r w:rsidRPr="00294817">
        <w:rPr>
          <w:color w:val="483B3F"/>
          <w:sz w:val="20"/>
          <w:szCs w:val="20"/>
        </w:rPr>
        <w:t>. Общие положения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1.1. Порядок учета предложений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городского округа, а также участия граждан в его обсуждении (далее - Порядок), разработан в соответствии с федеральными законами от 06.10.2003 N 131-ФЗ "Об общих принципах организации местного самоуправления в Российской Федерации", от 02.05.2006 N 59-ФЗ "О порядке рассмотрения обращений граждан Российской Федерации" и направлен на реализацию права граждан на осуществление местного самоуправления посредством участия в обсуждении проекта Устава муниципального образования «Чебаркульский городской округ» (далее городской округ), проектов муниципальных правовых актов о внесении изменений и дополнений в Устав.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1.2. Участие граждан в обсуждении проекта Устава, проекта муниципального правового акта о внесении изменений и дополнений в Устав осуществляется путем направления </w:t>
      </w:r>
      <w:r w:rsidRPr="00294817">
        <w:rPr>
          <w:i/>
          <w:sz w:val="20"/>
          <w:szCs w:val="20"/>
        </w:rPr>
        <w:t>письменных предложений в соответствии с главой 2 настоящего Порядка и посредством участия в публичных слушаниях в соответствии с главой 3 настоящего Порядка</w:t>
      </w:r>
      <w:r w:rsidRPr="00294817">
        <w:rPr>
          <w:sz w:val="20"/>
          <w:szCs w:val="20"/>
        </w:rPr>
        <w:t xml:space="preserve">. 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Порядок принятия решения Собранием депутатов Чебаркульского городского округа (далее Собрание депутатов) о проведении публичных слушаний по проекту Устава, проекту муниципального правового акта о внесении изменений и дополнений в Устав, порядок подготовки публичных слушаний </w:t>
      </w:r>
      <w:r w:rsidRPr="00294817">
        <w:rPr>
          <w:sz w:val="20"/>
          <w:szCs w:val="20"/>
        </w:rPr>
        <w:t xml:space="preserve">по данным проектам регулируются Положением о публичных слушаниях в муниципальном образовании </w:t>
      </w:r>
      <w:r w:rsidRPr="00294817">
        <w:rPr>
          <w:color w:val="483B3F"/>
          <w:sz w:val="20"/>
          <w:szCs w:val="20"/>
        </w:rPr>
        <w:t>городского округа, утвержденным решением Собрания депутатов (далее - Положение о публичных слушаниях), с учетом особенностей, установленных настоящим Порядком.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1.3. </w:t>
      </w:r>
      <w:r w:rsidRPr="00294817">
        <w:rPr>
          <w:i/>
          <w:color w:val="483B3F"/>
          <w:sz w:val="20"/>
          <w:szCs w:val="20"/>
        </w:rPr>
        <w:t>Проект</w:t>
      </w:r>
      <w:r w:rsidRPr="00294817">
        <w:rPr>
          <w:color w:val="483B3F"/>
          <w:sz w:val="20"/>
          <w:szCs w:val="20"/>
        </w:rPr>
        <w:t xml:space="preserve"> Устава, проект муниципального правового акта о внесении изменений и дополнений в Устав </w:t>
      </w:r>
      <w:r w:rsidRPr="00294817">
        <w:rPr>
          <w:i/>
          <w:color w:val="483B3F"/>
          <w:sz w:val="20"/>
          <w:szCs w:val="20"/>
        </w:rPr>
        <w:t>не позднее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настоящего Порядка</w:t>
      </w:r>
      <w:r w:rsidRPr="00294817">
        <w:rPr>
          <w:color w:val="483B3F"/>
          <w:sz w:val="20"/>
          <w:szCs w:val="20"/>
        </w:rPr>
        <w:t>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Не требуется официальное опубликование (обнародование) настоящего Порядка, когда в Устав вносятся изменения в форме точного воспроизведения положений Конституции Российской Федерации, федерального и регионального законодательства.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 Порядок учета предложений по проекту Устава, проекту муниципального правового акта о внесении изменений и дополнений в Устав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2.1. Рассмотрение предложений по проекту Устава, проекту муниципального правового акта о внесении изменений и дополнений в Устав (далее - предложения) представленных в письменном виде осуществляется рабочей группой по разработке проекта Устава муниципального образования городского округа, проектов муниципальных нормативных правовых актов о внесении изменений и дополнений в Устав, состав которой утверждается решением Собрания депутатов (далее - рабочая группа).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Порядок деятельности рабочей группы устанавливается Регламентом Собрания депутатов.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2.2. Срок предоставления предложений, адрес для их направления, информация о времени и месте проведения публичных слушаний, начало и окончание регистрации для участия в публичных слушаниях определяются рабочей группой и подлежат официальному опубликованию (обнародованию)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Предложения принимаются и регистрируются рабочей группой в регистрационном листе, в котором указывается порядковый номер предложения, дата и время его поступления, сведения о лице, внесшем предложение и краткое содержание предложения.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2.3. Рабочая группа обеспечивает официальное опубликование в газете «</w:t>
      </w:r>
      <w:proofErr w:type="spellStart"/>
      <w:r w:rsidRPr="00294817">
        <w:rPr>
          <w:color w:val="483B3F"/>
          <w:sz w:val="20"/>
          <w:szCs w:val="20"/>
        </w:rPr>
        <w:t>Южноуралец</w:t>
      </w:r>
      <w:proofErr w:type="spellEnd"/>
      <w:r w:rsidRPr="00294817">
        <w:rPr>
          <w:color w:val="483B3F"/>
          <w:sz w:val="20"/>
          <w:szCs w:val="20"/>
        </w:rPr>
        <w:t>» и обнародование в установленном порядке решения Собрания депутатов о проведении публичных слушаний по проекту Устава, проекту муниципального нормативного правового акта о внесении изменений и дополнений в Устав, информационного сообщения и проекта Устава, проекта муниципального нормативного правового акта о внесении изменений и дополнений в Устав.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2.4. Предложения вправе направлять граждане, достигшие 18 лет и проживающие на территории Чебаркульского городского округа, а также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</w:t>
      </w:r>
      <w:r w:rsidRPr="00294817">
        <w:rPr>
          <w:color w:val="483B3F"/>
          <w:sz w:val="20"/>
          <w:szCs w:val="20"/>
        </w:rPr>
        <w:lastRenderedPageBreak/>
        <w:t>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2.5. В предложениях указываются текст предлагаемого изменения и (или) дополнения в проект Устава, проект муниципального нормативного правового акта о внесении изменений и дополнений в Устав,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предложения, завершив записью следующего содержания: «Даю согласие на обработку, проверку, передачу иным лицам моих персональных данных. Дата, Ф.И.О., подпись».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2.7. Предложения, внесенные с нарушениями требований, установленных пунктами 2.4, 2.5, 2.6 Порядка, и (или) с нарушением срока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2.8. По итогам рассмотрения поступивших предложений не позднее чем за два рабочих дня до даты проведения публичных </w:t>
      </w:r>
      <w:r w:rsidRPr="00294817">
        <w:rPr>
          <w:sz w:val="20"/>
          <w:szCs w:val="20"/>
        </w:rPr>
        <w:t xml:space="preserve">слушаний </w:t>
      </w:r>
      <w:r w:rsidRPr="00294817">
        <w:rPr>
          <w:i/>
          <w:sz w:val="20"/>
          <w:szCs w:val="20"/>
        </w:rPr>
        <w:t>рабочая группа готовит проект мотивированного заключения, который должен содержать следующую информацию: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1) общее количество поступивших предложений;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2) количество не подлежащих рассмотрению предложений в соответствии с пунктом 2.7 Порядка;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3) предложения, рекомендуемые рабочей группой к отклонению с мотивированным обоснованием отклонения;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4) предложения, рекомендуемые рабочей группой к внесению в текст проекта Устава, проекта муниципального нормативного правового акта о внесении изменений и дополнений в Устав.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ab/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2.9. Содержание проекта мотивированного заключения оглашается членами рабочей группы на публичных слушаниях. В течение трех рабочих дней со дня окончания публичных слушаний дорабатывается секретарем рабочей группы (либо членом  рабочей группы по ее поручению), с учетом предложений от участников публичных слушаний и приобщается к протоколу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2.10. </w:t>
      </w:r>
      <w:r w:rsidRPr="00294817">
        <w:rPr>
          <w:sz w:val="20"/>
          <w:szCs w:val="20"/>
        </w:rPr>
        <w:t xml:space="preserve">Мотивированное заключение с учетом предложений от участников публичных слушаний подписывается Главой городского округа либо по его поручению одним из членов рабочей группы в день его </w:t>
      </w:r>
      <w:r w:rsidRPr="00294817">
        <w:rPr>
          <w:color w:val="483B3F"/>
          <w:sz w:val="20"/>
          <w:szCs w:val="20"/>
        </w:rPr>
        <w:t>изготовления.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2.11. Гражданину, направившему предложения, рабочей группой дается письменный ответ, содержащий информацию о рекомендации к внесению в текст проекта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предложений, в течение 30 дней со дня регистрации предложения.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 Порядок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3.1. 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Собранием депутатов.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Инициатором публичных слушаний вносится на рассмотрение в Собрание депутатов проект решения о их назначении и проведении. 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3.2. Организацию и проведение публичных слушаний осуществляет рабочая группа, порядок работы которой установлен Положением о публичных слушаниях.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3.3. Участниками публичных слушаний являются граждане, достигшие 18 лет,  зарегистрированные (проживающие) на территории Чебаркульского городского округа, а также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(далее – участники публичных слушаний).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3.4. Участники публичных слушаний, явившиеся до окончания времени регистрации участников публичных слушаниях и по адресу проведения публичных слушаний, которые указаны в информационном сообщении, регистрируются представителями рабочей группы либо лицом, определенным инициатором публичных слушаний при предъявлении паспорта гражданина Российской Федерации или иного документа, удостоверяющего личность гражданина.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3.5.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(регистрации) гражданина.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3.6.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lastRenderedPageBreak/>
        <w:t>3.7. Председательствует на публичных слушаниях Глава городского округа либо иной член рабочей группы по поручению Главы городского округа, протокол публичных слушаний ведет секретарь (определяемый председателем публичных слушаний).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3.8.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нормативного правового акта, по которому проводятся публичные слушания (проект Устава либо проект муниципального нормативного правового акта о внесении изменений и дополнений в Устав), дату и номер решения Собрания депутатов о назначении публичных слушаний, сообщает общее количество зарегистрировавшихся участников публичных слушаний, оглашает утвержденную комиссией повестку и регламент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3.9. Председательствующий предоставляет слово докладчику и содокладчику, экспертам, члену рабочей группы,  депутатам, председателям и членам постоянных депутатских комиссий для оглашения содержания мотивированного заключения.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Затем председательствующий предоставляет слово для выступлений участникам публичных слушаний в порядке поступления заявок на выступления.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3.10.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3.11. По окончании выступлений докладчика, содокладчика, экспертов, члена рабочей группы и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3.12. Участники публичных слушаний подают председательствующему заявки на выступления и вопросы докладчику, содокладчику, экспертам и члену рабочей группы в письменной форме.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3.13. Записки с вопросами озвучивает председательствующий или докладчик, содокладчик, эксперт, член рабочей группы, которым они были заданы, которые передаются секретарю для их дальнейшей обработки и подготовки мотивированного ответа с профильными  специалистами.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3.14. По итогам проведения публичных слушаний участниками принимается решение, содержащее рекомендации Собранию депутатов принять либо отклонить проект Устава, проект муниципального правового акта о внесении изменений и дополнений в Устав (далее - решение участников публичных слушаний).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3.15.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3.16. В протоколе указываются дата и место проведения публичных слушаний, число зарегистрированных участников публичных слушаний, фамилия, имя, отчество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участников публичных слушаний, содержание мотивированного заключения, предусмотренного пунктом 2.8 Порядка, и решение участников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 xml:space="preserve">3.17. Протокол публичных слушаний готовится секретарем; подписывается </w:t>
      </w:r>
      <w:r w:rsidRPr="00294817">
        <w:rPr>
          <w:sz w:val="20"/>
          <w:szCs w:val="20"/>
        </w:rPr>
        <w:t xml:space="preserve">председательствующим и секретарем, </w:t>
      </w:r>
      <w:r w:rsidRPr="00294817">
        <w:rPr>
          <w:color w:val="483B3F"/>
          <w:sz w:val="20"/>
          <w:szCs w:val="20"/>
        </w:rPr>
        <w:t>с приложением листов регистрации участников публичных слушаний, мотивированного заключения (далее - материалы публичных слушаний) в трехдневный срок со дня проведения публичных слушаний.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3.18. Мнение участников публичных слушаний по проекту Устава, проекту муниципального правового акта о внесении изменений и дополнений в Устав, выявленное в ходе публичных слушаний, носит рекомендательный характер для представительного органа.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3.19.  Рабочая группа обеспечивает размещение  информации о результатах публичных слушаний, рекомендаций (при их наличии) в средствах массовой информации (официальный сайт, газета, стенды для обнародования)</w:t>
      </w:r>
    </w:p>
    <w:p w:rsidR="00CA2509" w:rsidRPr="00294817" w:rsidRDefault="00CA2509" w:rsidP="00CA2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0"/>
          <w:szCs w:val="20"/>
        </w:rPr>
      </w:pPr>
      <w:r w:rsidRPr="00294817">
        <w:rPr>
          <w:color w:val="483B3F"/>
          <w:sz w:val="20"/>
          <w:szCs w:val="20"/>
        </w:rPr>
        <w:t>Ответственное лицо за  размещение информации инициатор публичных слушаний.</w:t>
      </w:r>
    </w:p>
    <w:p w:rsidR="00CA2509" w:rsidRPr="00294817" w:rsidRDefault="00CA2509" w:rsidP="00CA2509">
      <w:pPr>
        <w:rPr>
          <w:sz w:val="20"/>
          <w:szCs w:val="20"/>
        </w:rPr>
      </w:pPr>
    </w:p>
    <w:p w:rsidR="00CA2509" w:rsidRDefault="00CA2509" w:rsidP="00CA2509"/>
    <w:p w:rsidR="00CA2509" w:rsidRDefault="00CA2509" w:rsidP="00CA2509"/>
    <w:p w:rsidR="00CA2509" w:rsidRDefault="00CA2509" w:rsidP="00CA2509"/>
    <w:p w:rsidR="00CA2509" w:rsidRDefault="00CA2509" w:rsidP="00CA2509"/>
    <w:p w:rsidR="00CA2509" w:rsidRDefault="00CA2509" w:rsidP="00CA2509"/>
    <w:p w:rsidR="00CA2509" w:rsidRDefault="00CA2509" w:rsidP="00CA2509"/>
    <w:sectPr w:rsidR="00CA2509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0C60"/>
    <w:rsid w:val="000E7E29"/>
    <w:rsid w:val="001857E9"/>
    <w:rsid w:val="002051BE"/>
    <w:rsid w:val="002461AA"/>
    <w:rsid w:val="002608D8"/>
    <w:rsid w:val="003335C1"/>
    <w:rsid w:val="00374F89"/>
    <w:rsid w:val="00CA2509"/>
    <w:rsid w:val="00D0045C"/>
    <w:rsid w:val="00E20C60"/>
    <w:rsid w:val="00E33648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9"/>
  </w:style>
  <w:style w:type="paragraph" w:styleId="1">
    <w:name w:val="heading 1"/>
    <w:basedOn w:val="a"/>
    <w:link w:val="10"/>
    <w:uiPriority w:val="9"/>
    <w:qFormat/>
    <w:rsid w:val="00CA2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2023-04-05T11:22:00Z</cp:lastPrinted>
  <dcterms:created xsi:type="dcterms:W3CDTF">2023-06-16T09:56:00Z</dcterms:created>
  <dcterms:modified xsi:type="dcterms:W3CDTF">2023-06-16T09:56:00Z</dcterms:modified>
</cp:coreProperties>
</file>